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spacing w:line="240" w:lineRule="auto"/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ANEXO II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b w:val="1"/>
          <w:sz w:val="28"/>
          <w:szCs w:val="28"/>
        </w:rPr>
      </w:pP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CRITÉRIOS</w:t>
      </w:r>
      <w:r w:rsidDel="00000000" w:rsidR="00000000" w:rsidRPr="00000000">
        <w:rPr>
          <w:b w:val="1"/>
          <w:sz w:val="28"/>
          <w:szCs w:val="28"/>
          <w:rtl w:val="0"/>
        </w:rPr>
        <w:t xml:space="preserve"> DE</w:t>
      </w:r>
      <w:r w:rsidDel="00000000" w:rsidR="00000000" w:rsidRPr="00000000">
        <w:rPr>
          <w:rFonts w:ascii="Calibri" w:cs="Calibri" w:eastAsia="Calibri" w:hAnsi="Calibri"/>
          <w:b w:val="1"/>
          <w:sz w:val="28"/>
          <w:szCs w:val="28"/>
          <w:rtl w:val="0"/>
        </w:rPr>
        <w:t xml:space="preserve"> AVALIAÇÃO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avaliação dos projetos será realizada mediante atribuição de notas aos critérios de seleção, conforme descrição a seguir: 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pleno de atendimento do critério - 10 pontos; 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satisfatório de atendimento do critério – 6 pontos; 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Grau insatisfatório de atendimento do critério – 2 pontos; 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• Não atendimento do critério – 0 pontos.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right="12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130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99"/>
        <w:gridCol w:w="2263"/>
        <w:gridCol w:w="3686"/>
        <w:gridCol w:w="1382"/>
        <w:tblGridChange w:id="0">
          <w:tblGrid>
            <w:gridCol w:w="799"/>
            <w:gridCol w:w="2263"/>
            <w:gridCol w:w="3686"/>
            <w:gridCol w:w="138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Item</w:t>
            </w:r>
          </w:p>
        </w:tc>
        <w:tc>
          <w:tcPr/>
          <w:p w:rsidR="00000000" w:rsidDel="00000000" w:rsidP="00000000" w:rsidRDefault="00000000" w:rsidRPr="00000000" w14:paraId="0000000A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Critério</w:t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Descrição</w:t>
            </w:r>
          </w:p>
        </w:tc>
        <w:tc>
          <w:tcPr/>
          <w:p w:rsidR="00000000" w:rsidDel="00000000" w:rsidP="00000000" w:rsidRDefault="00000000" w:rsidRPr="00000000" w14:paraId="0000000C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Pontuação</w:t>
            </w:r>
          </w:p>
          <w:p w:rsidR="00000000" w:rsidDel="00000000" w:rsidP="00000000" w:rsidRDefault="00000000" w:rsidRPr="00000000" w14:paraId="0000000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Máxima</w:t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Qualidade do Projeto </w:t>
            </w:r>
          </w:p>
          <w:p w:rsidR="00000000" w:rsidDel="00000000" w:rsidP="00000000" w:rsidRDefault="00000000" w:rsidRPr="00000000" w14:paraId="0000001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- Coerência do objeto, objetivos, justificativa e metas do projeto.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 conteúdo do projeto deverá ser coerente. O objeto, a justificativa e as metas, deverá possibilitar a visualização dos resultados que serão obtidos.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 a 10 pontos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B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Coerência da planilha orçamentária, do cronograma de execução, as metas, resultados e desdobramentos do projeto proposto.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Viabilidade técnica do projeto sob o ponto de vista dos gastos previstos na planilha orçamentária, sua execução e a adequação ao objeto, metas e objetivos previstos. Coerência e conformidade dos valores e quantidades dos itens relacionados na planilha orçamentária do projeto.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 a 10 pontos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C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Coerência do Plano de Divulgação com o </w:t>
            </w:r>
          </w:p>
          <w:p w:rsidR="00000000" w:rsidDel="00000000" w:rsidP="00000000" w:rsidRDefault="00000000" w:rsidRPr="00000000" w14:paraId="0000001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Cronograma, </w:t>
            </w:r>
          </w:p>
          <w:p w:rsidR="00000000" w:rsidDel="00000000" w:rsidP="00000000" w:rsidRDefault="00000000" w:rsidRPr="00000000" w14:paraId="0000001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Objetivos e Metas do projeto proposto.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Viabilidade técnica e comunicacional com o público alvo do projeto, mediante as estratégias, mídias e materiais apresentados.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 a 10 pontos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D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Compatibilidade da ficha técnica com as atividades desenvolvidas.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 partir da análise dos currículos, verificar a correlação entre os profissionais elencados na ficha técnica e as funções a serem desempenhadas na execução do projeto.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 a 10 pontos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Trajetória cultural do proponente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Análise curricular do proponente, de sua trajetória profissional no Estado do Espírito Santo.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 a 10 pontos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5">
            <w:pPr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F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Acessibilidade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Propostas que incluem instrumentos de acessibilidade tais como: intérprete de libras, programas em braile, áudio descrição, locais com rampa e outros que garantam a acessibilidade.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0 a 10 pontos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0" w:right="0" w:firstLine="0"/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120" w:before="120" w:line="240" w:lineRule="auto"/>
        <w:ind w:left="840" w:right="120" w:firstLine="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pontuação final de cada candidatura será por consenso dos membros da comissão, considerando as notas atribuídas individualmente por cada membro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after="120" w:before="120" w:line="240" w:lineRule="auto"/>
        <w:ind w:left="840" w:right="120" w:firstLine="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critérios gerais são eliminatórios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de modo que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 a entidade cultural que receber pontuação 0 em algum dos critérios será desclassificada do Edital.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120" w:before="120" w:line="240" w:lineRule="auto"/>
        <w:ind w:left="840" w:right="120" w:firstLine="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Os bônus de pontuação são cumulativos e não constituem critérios obrigatórios      de modo que a pontuação 0 em algum dos pontos bônus não desclassifica a entidade cultural.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after="120" w:before="120" w:line="240" w:lineRule="auto"/>
        <w:ind w:left="840" w:right="120" w:firstLine="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Em caso de empate, serão utilizados para fins de classificação dos projetos a maior nota nos critérios de acordo com a ordem abaixo definida: A, B, C, D, E, F, G, respectivamente.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120" w:before="120" w:line="240" w:lineRule="auto"/>
        <w:ind w:left="840" w:right="120" w:firstLine="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Caso nenhum dos critérios acima elencados seja capaz de promover o desempate, serão adotados critérios de desempate na ordem a seguir:</w:t>
      </w:r>
    </w:p>
    <w:p w:rsidR="00000000" w:rsidDel="00000000" w:rsidP="00000000" w:rsidRDefault="00000000" w:rsidRPr="00000000" w14:paraId="0000002F">
      <w:pPr>
        <w:numPr>
          <w:ilvl w:val="0"/>
          <w:numId w:val="3"/>
        </w:numPr>
        <w:spacing w:after="0" w:afterAutospacing="0" w:before="120" w:line="240" w:lineRule="auto"/>
        <w:ind w:left="1440" w:right="1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Entidade Cultural com maior tempo de atividade</w:t>
      </w:r>
    </w:p>
    <w:p w:rsidR="00000000" w:rsidDel="00000000" w:rsidP="00000000" w:rsidRDefault="00000000" w:rsidRPr="00000000" w14:paraId="00000030">
      <w:pPr>
        <w:numPr>
          <w:ilvl w:val="0"/>
          <w:numId w:val="3"/>
        </w:numPr>
        <w:spacing w:after="120" w:before="0" w:beforeAutospacing="0" w:line="240" w:lineRule="auto"/>
        <w:ind w:left="1440" w:right="120" w:hanging="36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Sorteio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after="120" w:before="120" w:line="240" w:lineRule="auto"/>
        <w:ind w:left="840" w:right="120" w:firstLine="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Serão considerados aptos os projetos que receberem nota final igual ou superior a 40 pontos.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after="120" w:before="120" w:line="240" w:lineRule="auto"/>
        <w:ind w:left="840" w:right="120" w:firstLine="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Serão desclassificados os projetos que: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416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- receberam nota 0 em qualquer dos critérios obrigatórios; 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416" w:right="120" w:firstLine="0"/>
        <w:jc w:val="both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II - apresentem quaisquer formas de preconceito de origem, raça, etnia, gênero, cor, idade ou outras formas de discriminação</w:t>
      </w:r>
      <w:r w:rsidDel="00000000" w:rsidR="00000000" w:rsidRPr="00000000">
        <w:rPr>
          <w:rtl w:val="0"/>
        </w:rPr>
        <w:t xml:space="preserve">     </w:t>
      </w:r>
      <w:r w:rsidDel="00000000" w:rsidR="00000000" w:rsidRPr="00000000">
        <w:rPr>
          <w:sz w:val="24"/>
          <w:szCs w:val="24"/>
          <w:rtl w:val="0"/>
        </w:rPr>
        <w:t xml:space="preserve">, com fundamento no disposto no </w:t>
      </w:r>
      <w:hyperlink r:id="rId7">
        <w:r w:rsidDel="00000000" w:rsidR="00000000" w:rsidRPr="00000000">
          <w:rPr>
            <w:sz w:val="24"/>
            <w:szCs w:val="24"/>
            <w:rtl w:val="0"/>
          </w:rPr>
          <w:t xml:space="preserve">inciso IV do caput do art. 3º da Constituição,</w:t>
        </w:r>
      </w:hyperlink>
      <w:r w:rsidDel="00000000" w:rsidR="00000000" w:rsidRPr="00000000">
        <w:rPr>
          <w:sz w:val="24"/>
          <w:szCs w:val="24"/>
          <w:rtl w:val="0"/>
        </w:rPr>
        <w:t xml:space="preserve"> garantidos o contraditório e a ampla defesa.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spacing w:after="120" w:before="120" w:line="240" w:lineRule="auto"/>
        <w:ind w:left="840" w:right="120" w:firstLine="0"/>
        <w:jc w:val="both"/>
        <w:rPr>
          <w:rFonts w:ascii="Noto Sans Symbols" w:cs="Noto Sans Symbols" w:eastAsia="Noto Sans Symbols" w:hAnsi="Noto Sans Symbols"/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A falsidade de informações acarretará desclassificação, podendo ensejar, ainda, a aplicação de sanções administrativas ou criminais.</w:t>
      </w:r>
      <w:r w:rsidDel="00000000" w:rsidR="00000000" w:rsidRPr="00000000">
        <w:rPr>
          <w:rtl w:val="0"/>
        </w:rPr>
      </w:r>
    </w:p>
    <w:sectPr>
      <w:headerReference r:id="rId8" w:type="default"/>
      <w:footerReference r:id="rId9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6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7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002/2025 OBRAS, REFORMAS E AQUISIÇÃO DE BENS CULTURAIS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8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39">
    <w:pPr>
      <w:tabs>
        <w:tab w:val="center" w:leader="none" w:pos="4252"/>
        <w:tab w:val="right" w:leader="none" w:pos="8504"/>
      </w:tabs>
      <w:spacing w:after="0" w:line="240" w:lineRule="auto"/>
      <w:jc w:val="center"/>
      <w:rPr/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sz w:val="18"/>
        <w:szCs w:val="18"/>
        <w:highlight w:val="whit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C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o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▪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▪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▪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▪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▪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▪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▪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table" w:styleId="GridTable4Accent1" w:customStyle="1">
    <w:name w:val="Grid Table 4 Accent 1"/>
    <w:basedOn w:val="Tabelanormal"/>
    <w:uiPriority w:val="49"/>
    <w:rsid w:val="008D026A"/>
    <w:pPr>
      <w:spacing w:after="0" w:before="100" w:line="240" w:lineRule="auto"/>
    </w:pPr>
    <w:rPr>
      <w:rFonts w:asciiTheme="minorHAnsi" w:cstheme="minorBidi" w:eastAsiaTheme="minorEastAsia" w:hAnsiTheme="minorHAnsi"/>
      <w:sz w:val="20"/>
      <w:szCs w:val="20"/>
    </w:rPr>
    <w:tblPr>
      <w:tblStyleRowBandSize w:val="1"/>
      <w:tblStyleColBandSize w:val="1"/>
      <w:tblInd w:w="0.0" w:type="dxa"/>
      <w:tblBorders>
        <w:top w:color="8eaadb" w:space="0" w:sz="4" w:themeColor="accent1" w:themeTint="000099" w:val="single"/>
        <w:left w:color="8eaadb" w:space="0" w:sz="4" w:themeColor="accent1" w:themeTint="000099" w:val="single"/>
        <w:bottom w:color="8eaadb" w:space="0" w:sz="4" w:themeColor="accent1" w:themeTint="000099" w:val="single"/>
        <w:right w:color="8eaadb" w:space="0" w:sz="4" w:themeColor="accent1" w:themeTint="000099" w:val="single"/>
        <w:insideH w:color="8eaadb" w:space="0" w:sz="4" w:themeColor="accent1" w:themeTint="000099" w:val="single"/>
        <w:insideV w:color="8eaadb" w:space="0" w:sz="4" w:themeColor="accent1" w:themeTint="000099" w:val="single"/>
      </w:tblBorders>
      <w:tblCellMar>
        <w:top w:w="0.0" w:type="dxa"/>
        <w:left w:w="108.0" w:type="dxa"/>
        <w:bottom w:w="0.0" w:type="dxa"/>
        <w:right w:w="108.0" w:type="dxa"/>
      </w:tblCellMar>
    </w:tblPr>
    <w:tblStylePr w:type="firstRow">
      <w:rPr>
        <w:b w:val="1"/>
        <w:bCs w:val="1"/>
        <w:color w:val="ffffff" w:themeColor="background1"/>
      </w:rPr>
      <w:tblPr/>
      <w:tcPr>
        <w:tcBorders>
          <w:top w:color="4472c4" w:space="0" w:sz="4" w:themeColor="accent1" w:val="single"/>
          <w:left w:color="4472c4" w:space="0" w:sz="4" w:themeColor="accent1" w:val="single"/>
          <w:bottom w:color="4472c4" w:space="0" w:sz="4" w:themeColor="accent1" w:val="single"/>
          <w:right w:color="4472c4" w:space="0" w:sz="4" w:themeColor="accent1" w:val="single"/>
          <w:insideH w:space="0" w:sz="0" w:val="nil"/>
          <w:insideV w:space="0" w:sz="0" w:val="nil"/>
        </w:tcBorders>
        <w:shd w:color="auto" w:fill="4472c4" w:themeFill="accent1" w:val="clear"/>
      </w:tcPr>
    </w:tblStylePr>
    <w:tblStylePr w:type="lastRow">
      <w:rPr>
        <w:b w:val="1"/>
        <w:bCs w:val="1"/>
      </w:rPr>
      <w:tblPr/>
      <w:tcPr>
        <w:tcBorders>
          <w:top w:color="4472c4" w:space="0" w:sz="4" w:themeColor="accent1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d9e2f3" w:themeFill="accent1" w:themeFillTint="000033" w:val="clear"/>
      </w:tcPr>
    </w:tblStylePr>
    <w:tblStylePr w:type="band1Horz">
      <w:tblPr/>
      <w:tcPr>
        <w:shd w:color="auto" w:fill="d9e2f3" w:themeFill="accent1" w:themeFillTint="000033" w:val="clear"/>
      </w:tcPr>
    </w:tblStylePr>
  </w:style>
  <w:style w:type="paragraph" w:styleId="SemEspaamento">
    <w:name w:val="No Spacing"/>
    <w:uiPriority w:val="1"/>
    <w:qFormat w:val="1"/>
    <w:rsid w:val="00E52692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://www.planalto.gov.br/ccivil_03/Constituicao/Constituicao.htm#art3iv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weNzChT88Y8NCIxX9C9d64xVQ+Q==">CgMxLjA4AHIhMWMyVE9HZHl2SmEzX2JuakI2LUgtR3l6Qm9YLWNQb29Y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2025-01-29T17:51:00Z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